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821B" w14:textId="1E632068"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sidR="000C5CEF">
        <w:rPr>
          <w:rFonts w:asciiTheme="minorHAnsi" w:eastAsiaTheme="minorEastAsia" w:hAnsiTheme="minorHAnsi" w:cstheme="minorHAnsi" w:hint="eastAsia"/>
          <w:bCs/>
          <w:noProof w:val="0"/>
          <w:sz w:val="24"/>
          <w:szCs w:val="24"/>
          <w:lang w:eastAsia="zh-CN"/>
        </w:rPr>
        <w:t>bis</w:t>
      </w:r>
      <w:r>
        <w:rPr>
          <w:rFonts w:asciiTheme="minorHAnsi" w:eastAsiaTheme="minorEastAsia" w:hAnsiTheme="minorHAnsi" w:cstheme="minorHAnsi"/>
          <w:bCs/>
          <w:noProof w:val="0"/>
          <w:sz w:val="24"/>
          <w:szCs w:val="24"/>
          <w:lang w:eastAsia="zh-CN"/>
        </w:rPr>
        <w:tab/>
      </w:r>
      <w:r w:rsidRPr="00DF7A2C">
        <w:rPr>
          <w:rFonts w:asciiTheme="minorHAnsi" w:eastAsiaTheme="minorEastAsia" w:hAnsiTheme="minorHAnsi" w:cstheme="minorHAnsi"/>
          <w:bCs/>
          <w:noProof w:val="0"/>
          <w:sz w:val="24"/>
          <w:szCs w:val="24"/>
          <w:lang w:eastAsia="zh-CN"/>
        </w:rPr>
        <w:t>R4-24</w:t>
      </w:r>
      <w:r w:rsidR="00DF7A2C" w:rsidRPr="00DF7A2C">
        <w:rPr>
          <w:rFonts w:asciiTheme="minorHAnsi" w:eastAsiaTheme="minorEastAsia" w:hAnsiTheme="minorHAnsi" w:cstheme="minorHAnsi"/>
          <w:bCs/>
          <w:noProof w:val="0"/>
          <w:sz w:val="24"/>
          <w:szCs w:val="24"/>
          <w:lang w:eastAsia="zh-CN"/>
        </w:rPr>
        <w:t>04486</w:t>
      </w:r>
    </w:p>
    <w:p w14:paraId="77502A82" w14:textId="481BA064" w:rsidR="00430613" w:rsidRDefault="000C5CEF"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0C5CEF">
        <w:rPr>
          <w:rFonts w:asciiTheme="minorHAnsi" w:eastAsiaTheme="minorEastAsia" w:hAnsiTheme="minorHAnsi" w:cstheme="minorHAnsi"/>
          <w:bCs/>
          <w:noProof w:val="0"/>
          <w:sz w:val="24"/>
          <w:szCs w:val="24"/>
          <w:lang w:eastAsia="zh-CN"/>
        </w:rPr>
        <w:t>Changsha, CN, April 15 – April 19, 2024</w:t>
      </w:r>
      <w:r w:rsidR="00430613">
        <w:rPr>
          <w:rFonts w:asciiTheme="minorHAnsi" w:eastAsiaTheme="minorEastAsia" w:hAnsiTheme="minorHAnsi" w:cstheme="minorHAnsi"/>
          <w:bCs/>
          <w:noProof w:val="0"/>
          <w:sz w:val="24"/>
          <w:szCs w:val="24"/>
          <w:lang w:eastAsia="zh-CN"/>
        </w:rPr>
        <w:t xml:space="preserve"> </w:t>
      </w:r>
    </w:p>
    <w:bookmarkEnd w:id="1"/>
    <w:p w14:paraId="597BC239" w14:textId="7920688C"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B42200" w:rsidRPr="00B42200">
        <w:rPr>
          <w:rFonts w:asciiTheme="minorHAnsi" w:eastAsiaTheme="minorEastAsia" w:hAnsiTheme="minorHAnsi" w:cstheme="minorHAnsi" w:hint="eastAsia"/>
          <w:bCs/>
          <w:noProof w:val="0"/>
          <w:sz w:val="24"/>
          <w:szCs w:val="24"/>
          <w:lang w:eastAsia="zh-CN"/>
        </w:rPr>
        <w:t>9.3.4</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B7C7D80" w:rsidR="00DA768D" w:rsidRPr="00B42200" w:rsidRDefault="00DA768D" w:rsidP="00DA768D">
      <w:pPr>
        <w:pStyle w:val="Header"/>
        <w:tabs>
          <w:tab w:val="right" w:pos="9639"/>
          <w:tab w:val="right" w:pos="13323"/>
        </w:tabs>
        <w:jc w:val="both"/>
        <w:rPr>
          <w:rFonts w:asciiTheme="minorHAnsi" w:eastAsia="新細明體"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Title: </w:t>
      </w:r>
      <w:r w:rsidR="00B42200">
        <w:rPr>
          <w:rFonts w:asciiTheme="minorHAnsi" w:eastAsia="新細明體" w:hAnsiTheme="minorHAnsi" w:cstheme="minorHAnsi" w:hint="eastAsia"/>
          <w:bCs/>
          <w:noProof w:val="0"/>
          <w:sz w:val="24"/>
          <w:szCs w:val="24"/>
          <w:lang w:eastAsia="zh-TW"/>
        </w:rPr>
        <w:t>V</w:t>
      </w:r>
      <w:r w:rsidR="00B42200">
        <w:rPr>
          <w:rFonts w:asciiTheme="minorHAnsi" w:eastAsia="新細明體" w:hAnsiTheme="minorHAnsi" w:cstheme="minorHAnsi"/>
          <w:bCs/>
          <w:noProof w:val="0"/>
          <w:sz w:val="24"/>
          <w:szCs w:val="24"/>
          <w:lang w:eastAsia="zh-TW"/>
        </w:rPr>
        <w:t xml:space="preserve">iews on IMT parameters for </w:t>
      </w:r>
      <w:bookmarkStart w:id="2" w:name="OLE_LINK22"/>
      <w:bookmarkStart w:id="3" w:name="OLE_LINK26"/>
      <w:r w:rsidR="00B42200" w:rsidRPr="00B42200">
        <w:rPr>
          <w:rFonts w:asciiTheme="minorHAnsi" w:eastAsia="新細明體" w:hAnsiTheme="minorHAnsi" w:cstheme="minorHAnsi"/>
          <w:bCs/>
          <w:noProof w:val="0"/>
          <w:sz w:val="24"/>
          <w:szCs w:val="24"/>
          <w:lang w:eastAsia="zh-TW"/>
        </w:rPr>
        <w:t>14800 to 15350 MHz</w:t>
      </w:r>
      <w:bookmarkEnd w:id="2"/>
      <w:r w:rsidR="00B42200" w:rsidRPr="00B42200">
        <w:rPr>
          <w:rFonts w:asciiTheme="minorHAnsi" w:eastAsia="新細明體" w:hAnsiTheme="minorHAnsi" w:cstheme="minorHAnsi"/>
          <w:bCs/>
          <w:noProof w:val="0"/>
          <w:sz w:val="24"/>
          <w:szCs w:val="24"/>
          <w:lang w:eastAsia="zh-TW"/>
        </w:rPr>
        <w:t xml:space="preserve"> frequency range</w:t>
      </w:r>
      <w:bookmarkEnd w:id="3"/>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745D657B" w:rsidR="00357E4F" w:rsidRDefault="007744FC" w:rsidP="00DF7A2C">
      <w:pPr>
        <w:jc w:val="both"/>
        <w:rPr>
          <w:rFonts w:eastAsia="SimSun"/>
        </w:rPr>
      </w:pPr>
      <w:r>
        <w:rPr>
          <w:rFonts w:eastAsia="SimSun"/>
        </w:rPr>
        <w:t xml:space="preserve">In </w:t>
      </w:r>
      <w:r w:rsidR="00A10F55">
        <w:rPr>
          <w:rFonts w:eastAsia="SimSun"/>
        </w:rPr>
        <w:t xml:space="preserve">RP#103 </w:t>
      </w:r>
      <w:r w:rsidR="000B06A9">
        <w:rPr>
          <w:rFonts w:eastAsia="SimSun"/>
        </w:rPr>
        <w:t>meeting</w:t>
      </w:r>
      <w:r>
        <w:rPr>
          <w:rFonts w:eastAsia="SimSun"/>
        </w:rPr>
        <w:t xml:space="preserve">, </w:t>
      </w:r>
      <w:r w:rsidR="00A10F55">
        <w:rPr>
          <w:rFonts w:eastAsia="SimSun"/>
        </w:rPr>
        <w:t>one SI [1] was approved to conduct the study on UE/BS parameters as requested by ITU</w:t>
      </w:r>
      <w:r w:rsidR="00327725">
        <w:rPr>
          <w:rFonts w:eastAsia="SimSun"/>
        </w:rPr>
        <w:t xml:space="preserve"> </w:t>
      </w:r>
      <w:r w:rsidR="00A10F55">
        <w:rPr>
          <w:rFonts w:eastAsia="SimSun"/>
        </w:rPr>
        <w:t xml:space="preserve">WP5D [2]. In this paper, we provide our high-level views on the frequency range </w:t>
      </w:r>
      <w:r w:rsidR="00A10F55" w:rsidRPr="00A10F55">
        <w:rPr>
          <w:rFonts w:eastAsia="SimSun"/>
        </w:rPr>
        <w:t xml:space="preserve">14800 to 15350 </w:t>
      </w:r>
      <w:proofErr w:type="spellStart"/>
      <w:r w:rsidR="00A10F55" w:rsidRPr="00A10F55">
        <w:rPr>
          <w:rFonts w:eastAsia="SimSun"/>
        </w:rPr>
        <w:t>MHz</w:t>
      </w:r>
      <w:r w:rsidR="00866614" w:rsidRPr="0033662D">
        <w:rPr>
          <w:rFonts w:eastAsia="SimSun"/>
        </w:rPr>
        <w:t>.</w:t>
      </w:r>
      <w:proofErr w:type="spellEnd"/>
    </w:p>
    <w:p w14:paraId="52F0A027" w14:textId="667D6120" w:rsidR="00A10F55" w:rsidRPr="002508E6" w:rsidRDefault="00C51F3B" w:rsidP="002508E6">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4" w:name="_Hlk142679663"/>
      <w:bookmarkStart w:id="5" w:name="_Hlk162888154"/>
    </w:p>
    <w:p w14:paraId="0D05A7F2" w14:textId="5A9658EA" w:rsidR="009A7669" w:rsidRDefault="00186468" w:rsidP="00186468">
      <w:pPr>
        <w:spacing w:beforeLines="50" w:before="120" w:afterLines="50" w:after="120"/>
        <w:jc w:val="both"/>
        <w:rPr>
          <w:rFonts w:eastAsia="新細明體" w:cstheme="minorHAnsi"/>
          <w:bCs/>
        </w:rPr>
      </w:pPr>
      <w:r>
        <w:rPr>
          <w:rFonts w:eastAsia="新細明體" w:cstheme="minorHAnsi"/>
          <w:bCs/>
        </w:rPr>
        <w:t xml:space="preserve">The request from ITU WP5D requires a certain </w:t>
      </w:r>
      <w:r w:rsidR="006D52F5">
        <w:rPr>
          <w:rFonts w:eastAsia="新細明體" w:cstheme="minorHAnsi"/>
          <w:bCs/>
        </w:rPr>
        <w:t>level</w:t>
      </w:r>
      <w:r>
        <w:rPr>
          <w:rFonts w:eastAsia="新細明體" w:cstheme="minorHAnsi"/>
          <w:bCs/>
        </w:rPr>
        <w:t xml:space="preserve"> of system-level simulation </w:t>
      </w:r>
      <w:r w:rsidR="006D52F5">
        <w:rPr>
          <w:rFonts w:eastAsia="新細明體" w:cstheme="minorHAnsi"/>
          <w:bCs/>
        </w:rPr>
        <w:t xml:space="preserve">effort </w:t>
      </w:r>
      <w:r>
        <w:rPr>
          <w:rFonts w:eastAsia="新細明體" w:cstheme="minorHAnsi"/>
          <w:bCs/>
        </w:rPr>
        <w:t xml:space="preserve">to </w:t>
      </w:r>
      <w:r w:rsidR="006D52F5">
        <w:rPr>
          <w:rFonts w:eastAsia="新細明體" w:cstheme="minorHAnsi"/>
          <w:bCs/>
        </w:rPr>
        <w:t>comprehend the</w:t>
      </w:r>
      <w:r>
        <w:rPr>
          <w:rFonts w:eastAsia="新細明體" w:cstheme="minorHAnsi"/>
          <w:bCs/>
        </w:rPr>
        <w:t xml:space="preserve"> feasible deployment parameters. However, one of the very fundamental questions </w:t>
      </w:r>
      <w:r w:rsidR="006D52F5">
        <w:rPr>
          <w:rFonts w:eastAsia="新細明體" w:cstheme="minorHAnsi"/>
          <w:bCs/>
        </w:rPr>
        <w:t>that must be addressed</w:t>
      </w:r>
      <w:r>
        <w:rPr>
          <w:rFonts w:eastAsia="新細明體" w:cstheme="minorHAnsi"/>
          <w:bCs/>
        </w:rPr>
        <w:t xml:space="preserve"> before conducting the simulation is about whether the </w:t>
      </w:r>
      <w:bookmarkStart w:id="6" w:name="OLE_LINK23"/>
      <w:r>
        <w:rPr>
          <w:rFonts w:eastAsia="新細明體" w:cstheme="minorHAnsi"/>
          <w:bCs/>
        </w:rPr>
        <w:t>1</w:t>
      </w:r>
      <w:r w:rsidR="00FD4B7D">
        <w:rPr>
          <w:rFonts w:eastAsia="新細明體" w:cstheme="minorHAnsi"/>
          <w:bCs/>
        </w:rPr>
        <w:t>5</w:t>
      </w:r>
      <w:r>
        <w:rPr>
          <w:rFonts w:eastAsia="新細明體" w:cstheme="minorHAnsi"/>
          <w:bCs/>
        </w:rPr>
        <w:t xml:space="preserve">GHz </w:t>
      </w:r>
      <w:bookmarkEnd w:id="6"/>
      <w:r>
        <w:rPr>
          <w:rFonts w:eastAsia="新細明體" w:cstheme="minorHAnsi"/>
          <w:bCs/>
        </w:rPr>
        <w:t xml:space="preserve">BS </w:t>
      </w:r>
      <w:r w:rsidR="006D52F5">
        <w:rPr>
          <w:rFonts w:eastAsia="新細明體" w:cstheme="minorHAnsi"/>
          <w:bCs/>
        </w:rPr>
        <w:t>will be</w:t>
      </w:r>
      <w:r>
        <w:rPr>
          <w:rFonts w:eastAsia="新細明體" w:cstheme="minorHAnsi"/>
          <w:bCs/>
        </w:rPr>
        <w:t xml:space="preserve"> co-located with FR1 BS, or they will typically be deployed in hot-spot scenarios like FR2. </w:t>
      </w:r>
    </w:p>
    <w:p w14:paraId="5C3614BB" w14:textId="64D4CC7B" w:rsidR="00186468" w:rsidRDefault="00186468" w:rsidP="00186468">
      <w:pPr>
        <w:spacing w:beforeLines="50" w:before="120" w:afterLines="50" w:after="120"/>
        <w:jc w:val="both"/>
        <w:rPr>
          <w:rFonts w:eastAsia="新細明體" w:cstheme="minorHAnsi"/>
          <w:bCs/>
        </w:rPr>
      </w:pPr>
      <w:r>
        <w:rPr>
          <w:rFonts w:eastAsia="新細明體" w:cstheme="minorHAnsi"/>
          <w:bCs/>
        </w:rPr>
        <w:t xml:space="preserve">In our understanding, 3GPP should </w:t>
      </w:r>
      <w:r w:rsidR="006D52F5">
        <w:rPr>
          <w:rFonts w:eastAsia="新細明體" w:cstheme="minorHAnsi"/>
          <w:bCs/>
        </w:rPr>
        <w:t>aim</w:t>
      </w:r>
      <w:r>
        <w:rPr>
          <w:rFonts w:eastAsia="新細明體" w:cstheme="minorHAnsi"/>
          <w:bCs/>
        </w:rPr>
        <w:t xml:space="preserve"> to ensure </w:t>
      </w:r>
      <w:r w:rsidR="006D52F5">
        <w:rPr>
          <w:rFonts w:eastAsia="新細明體" w:cstheme="minorHAnsi"/>
          <w:bCs/>
        </w:rPr>
        <w:t xml:space="preserve">that </w:t>
      </w:r>
      <w:r>
        <w:rPr>
          <w:rFonts w:eastAsia="新細明體" w:cstheme="minorHAnsi"/>
          <w:bCs/>
        </w:rPr>
        <w:t xml:space="preserve">the coverage of </w:t>
      </w:r>
      <w:r w:rsidR="00FD4B7D">
        <w:rPr>
          <w:rFonts w:eastAsia="新細明體" w:cstheme="minorHAnsi"/>
          <w:bCs/>
        </w:rPr>
        <w:t>15</w:t>
      </w:r>
      <w:r>
        <w:rPr>
          <w:rFonts w:eastAsia="新細明體" w:cstheme="minorHAnsi"/>
          <w:bCs/>
        </w:rPr>
        <w:t xml:space="preserve">GHz BS </w:t>
      </w:r>
      <w:r w:rsidR="006D52F5">
        <w:rPr>
          <w:rFonts w:eastAsia="新細明體" w:cstheme="minorHAnsi"/>
          <w:bCs/>
        </w:rPr>
        <w:t>matches that of</w:t>
      </w:r>
      <w:r>
        <w:rPr>
          <w:rFonts w:eastAsia="新細明體" w:cstheme="minorHAnsi"/>
          <w:bCs/>
        </w:rPr>
        <w:t xml:space="preserve"> FR1 BS. This</w:t>
      </w:r>
      <w:r w:rsidR="006D52F5">
        <w:rPr>
          <w:rFonts w:eastAsia="新細明體" w:cstheme="minorHAnsi"/>
          <w:bCs/>
        </w:rPr>
        <w:t xml:space="preserve"> approach </w:t>
      </w:r>
      <w:r>
        <w:rPr>
          <w:rFonts w:eastAsia="新細明體" w:cstheme="minorHAnsi"/>
          <w:bCs/>
        </w:rPr>
        <w:t xml:space="preserve">could </w:t>
      </w:r>
      <w:r w:rsidR="006D52F5">
        <w:rPr>
          <w:rFonts w:eastAsia="新細明體" w:cstheme="minorHAnsi"/>
          <w:bCs/>
        </w:rPr>
        <w:t>significantly</w:t>
      </w:r>
      <w:r>
        <w:rPr>
          <w:rFonts w:eastAsia="新細明體" w:cstheme="minorHAnsi"/>
          <w:bCs/>
        </w:rPr>
        <w:t xml:space="preserve"> reduce </w:t>
      </w:r>
      <w:r w:rsidR="006D52F5">
        <w:rPr>
          <w:rFonts w:eastAsia="新細明體" w:cstheme="minorHAnsi"/>
          <w:bCs/>
        </w:rPr>
        <w:t xml:space="preserve">the deployment cost for </w:t>
      </w:r>
      <w:r>
        <w:rPr>
          <w:rFonts w:eastAsia="新細明體" w:cstheme="minorHAnsi"/>
          <w:bCs/>
        </w:rPr>
        <w:t>operator</w:t>
      </w:r>
      <w:r w:rsidR="006D52F5">
        <w:rPr>
          <w:rFonts w:eastAsia="新細明體" w:cstheme="minorHAnsi"/>
          <w:bCs/>
        </w:rPr>
        <w:t>s</w:t>
      </w:r>
      <w:r>
        <w:rPr>
          <w:rFonts w:eastAsia="新細明體" w:cstheme="minorHAnsi"/>
          <w:bCs/>
        </w:rPr>
        <w:t xml:space="preserve"> </w:t>
      </w:r>
      <w:r w:rsidR="006D52F5">
        <w:rPr>
          <w:rFonts w:eastAsia="新細明體" w:cstheme="minorHAnsi"/>
          <w:bCs/>
        </w:rPr>
        <w:t xml:space="preserve">and ensure robust </w:t>
      </w:r>
      <w:r>
        <w:rPr>
          <w:rFonts w:eastAsia="新細明體" w:cstheme="minorHAnsi"/>
          <w:bCs/>
        </w:rPr>
        <w:t>mobility</w:t>
      </w:r>
      <w:r w:rsidR="006D52F5">
        <w:rPr>
          <w:rFonts w:eastAsia="新細明體" w:cstheme="minorHAnsi"/>
          <w:bCs/>
        </w:rPr>
        <w:t>,</w:t>
      </w:r>
      <w:r>
        <w:rPr>
          <w:rFonts w:eastAsia="新細明體" w:cstheme="minorHAnsi"/>
          <w:bCs/>
        </w:rPr>
        <w:t xml:space="preserve"> such as</w:t>
      </w:r>
      <w:r w:rsidR="006D52F5">
        <w:rPr>
          <w:rFonts w:eastAsia="新細明體" w:cstheme="minorHAnsi"/>
          <w:bCs/>
        </w:rPr>
        <w:t xml:space="preserve"> minimizing</w:t>
      </w:r>
      <w:r>
        <w:rPr>
          <w:rFonts w:eastAsia="新細明體" w:cstheme="minorHAnsi"/>
          <w:bCs/>
        </w:rPr>
        <w:t xml:space="preserve"> frequent handover</w:t>
      </w:r>
      <w:r w:rsidR="006D52F5">
        <w:rPr>
          <w:rFonts w:eastAsia="新細明體" w:cstheme="minorHAnsi"/>
          <w:bCs/>
        </w:rPr>
        <w:t>s</w:t>
      </w:r>
      <w:r>
        <w:rPr>
          <w:rFonts w:eastAsia="新細明體" w:cstheme="minorHAnsi"/>
          <w:bCs/>
        </w:rPr>
        <w:t xml:space="preserve">. </w:t>
      </w:r>
      <w:r w:rsidR="007E13D9">
        <w:rPr>
          <w:rFonts w:eastAsia="新細明體" w:cstheme="minorHAnsi"/>
          <w:bCs/>
        </w:rPr>
        <w:t xml:space="preserve">To achieve this goal, the </w:t>
      </w:r>
      <w:r>
        <w:rPr>
          <w:rFonts w:eastAsia="新細明體" w:cstheme="minorHAnsi"/>
          <w:bCs/>
        </w:rPr>
        <w:t>1</w:t>
      </w:r>
      <w:r w:rsidR="00FD4B7D">
        <w:rPr>
          <w:rFonts w:eastAsia="新細明體" w:cstheme="minorHAnsi"/>
          <w:bCs/>
        </w:rPr>
        <w:t>5</w:t>
      </w:r>
      <w:r>
        <w:rPr>
          <w:rFonts w:eastAsia="新細明體" w:cstheme="minorHAnsi"/>
          <w:bCs/>
        </w:rPr>
        <w:t xml:space="preserve">GHz BS needs to </w:t>
      </w:r>
      <w:r w:rsidR="006D52F5">
        <w:rPr>
          <w:rFonts w:eastAsia="新細明體" w:cstheme="minorHAnsi"/>
          <w:bCs/>
        </w:rPr>
        <w:t xml:space="preserve">offer </w:t>
      </w:r>
      <w:r>
        <w:rPr>
          <w:rFonts w:eastAsia="新細明體" w:cstheme="minorHAnsi"/>
          <w:bCs/>
        </w:rPr>
        <w:t>similar DL/UL coverage as FR1 BS.</w:t>
      </w:r>
    </w:p>
    <w:p w14:paraId="47FFAE86" w14:textId="71310040" w:rsidR="00D56D67" w:rsidRDefault="00D56D67" w:rsidP="00D56D67">
      <w:pPr>
        <w:pStyle w:val="Caption"/>
        <w:rPr>
          <w:rFonts w:eastAsia="新細明體" w:cstheme="minorHAnsi"/>
          <w:bCs/>
        </w:rPr>
      </w:pPr>
      <w:bookmarkStart w:id="7" w:name="_Ref163221788"/>
      <w:r>
        <w:t xml:space="preserve">Proposal </w:t>
      </w:r>
      <w:fldSimple w:instr=" SEQ Proposal \* ARABIC ">
        <w:r w:rsidR="00CD321B">
          <w:rPr>
            <w:noProof/>
          </w:rPr>
          <w:t>1</w:t>
        </w:r>
      </w:fldSimple>
      <w:r>
        <w:t xml:space="preserve">: </w:t>
      </w:r>
      <w:r w:rsidRPr="00D56D67">
        <w:t>RAN4 to confirm that 1</w:t>
      </w:r>
      <w:r w:rsidR="00FD4B7D">
        <w:t>5</w:t>
      </w:r>
      <w:r w:rsidRPr="00D56D67">
        <w:t>GHz BS is expected to be co-located with FR1 BS, and 1</w:t>
      </w:r>
      <w:r w:rsidR="00FD4B7D">
        <w:t>5</w:t>
      </w:r>
      <w:r w:rsidRPr="00D56D67">
        <w:t>GHz BS is expected to achieve a similar coverage as FR1 BS</w:t>
      </w:r>
      <w:r>
        <w:t>.</w:t>
      </w:r>
      <w:bookmarkEnd w:id="7"/>
    </w:p>
    <w:p w14:paraId="65D653F4" w14:textId="72A7672D" w:rsidR="00186468" w:rsidRDefault="00186468" w:rsidP="00186468">
      <w:pPr>
        <w:pStyle w:val="Caption"/>
        <w:jc w:val="both"/>
      </w:pPr>
    </w:p>
    <w:p w14:paraId="23D87026" w14:textId="7CD790A5" w:rsidR="00FD4B7D" w:rsidRDefault="007E13D9" w:rsidP="007E13D9">
      <w:pPr>
        <w:jc w:val="both"/>
        <w:rPr>
          <w:rFonts w:eastAsia="新細明體"/>
        </w:rPr>
      </w:pPr>
      <w:r>
        <w:rPr>
          <w:rFonts w:eastAsia="新細明體" w:hint="eastAsia"/>
        </w:rPr>
        <w:t>F</w:t>
      </w:r>
      <w:r>
        <w:rPr>
          <w:rFonts w:eastAsia="新細明體"/>
        </w:rPr>
        <w:t xml:space="preserve">rom our study, </w:t>
      </w:r>
      <w:bookmarkStart w:id="8" w:name="OLE_LINK29"/>
      <w:r>
        <w:rPr>
          <w:rFonts w:eastAsia="新細明體"/>
        </w:rPr>
        <w:t>1</w:t>
      </w:r>
      <w:r w:rsidR="00FD4B7D">
        <w:rPr>
          <w:rFonts w:eastAsia="新細明體"/>
        </w:rPr>
        <w:t>5</w:t>
      </w:r>
      <w:r>
        <w:rPr>
          <w:rFonts w:eastAsia="新細明體"/>
        </w:rPr>
        <w:t xml:space="preserve">GHz </w:t>
      </w:r>
      <w:r w:rsidR="00A90B04">
        <w:rPr>
          <w:rFonts w:eastAsia="新細明體"/>
        </w:rPr>
        <w:t>frequency range</w:t>
      </w:r>
      <w:bookmarkEnd w:id="8"/>
      <w:r>
        <w:rPr>
          <w:rFonts w:eastAsia="新細明體"/>
        </w:rPr>
        <w:t xml:space="preserve"> </w:t>
      </w:r>
      <w:r w:rsidR="00311C8C">
        <w:rPr>
          <w:rFonts w:eastAsia="新細明體"/>
        </w:rPr>
        <w:t>exhibits approximately</w:t>
      </w:r>
      <w:r w:rsidR="00FD4B7D">
        <w:rPr>
          <w:rFonts w:eastAsia="新細明體"/>
        </w:rPr>
        <w:t xml:space="preserve"> </w:t>
      </w:r>
      <w:bookmarkStart w:id="9" w:name="OLE_LINK30"/>
      <w:r>
        <w:rPr>
          <w:rFonts w:eastAsia="新細明體"/>
        </w:rPr>
        <w:t>1</w:t>
      </w:r>
      <w:r w:rsidR="00FD4B7D">
        <w:rPr>
          <w:rFonts w:eastAsia="新細明體"/>
        </w:rPr>
        <w:t>8</w:t>
      </w:r>
      <w:r>
        <w:rPr>
          <w:rFonts w:eastAsia="新細明體"/>
        </w:rPr>
        <w:t xml:space="preserve"> dB more total propagation loss</w:t>
      </w:r>
      <w:bookmarkEnd w:id="9"/>
      <w:r>
        <w:rPr>
          <w:rFonts w:eastAsia="新細明體"/>
        </w:rPr>
        <w:t xml:space="preserve"> compared to FR1. </w:t>
      </w:r>
      <w:r w:rsidR="00311C8C">
        <w:rPr>
          <w:rFonts w:eastAsia="新細明體"/>
        </w:rPr>
        <w:t>This increase is primarily</w:t>
      </w:r>
      <w:r>
        <w:rPr>
          <w:rFonts w:eastAsia="新細明體"/>
        </w:rPr>
        <w:t xml:space="preserve"> </w:t>
      </w:r>
      <w:r w:rsidR="00311C8C">
        <w:rPr>
          <w:rFonts w:eastAsia="新細明體"/>
        </w:rPr>
        <w:t>due to</w:t>
      </w:r>
      <w:r>
        <w:rPr>
          <w:rFonts w:eastAsia="新細明體"/>
        </w:rPr>
        <w:t xml:space="preserve"> 12 dB higher path loss and 6 dB higher penetration loss </w:t>
      </w:r>
      <w:r w:rsidR="00311C8C">
        <w:rPr>
          <w:rFonts w:eastAsia="新細明體"/>
        </w:rPr>
        <w:t>through</w:t>
      </w:r>
      <w:r>
        <w:rPr>
          <w:rFonts w:eastAsia="新細明體"/>
        </w:rPr>
        <w:t xml:space="preserve"> buildings. </w:t>
      </w:r>
      <w:r w:rsidR="00311C8C">
        <w:rPr>
          <w:rFonts w:eastAsia="新細明體"/>
        </w:rPr>
        <w:t>To counteract this additional propagation loss, more advanced antenna array design will be required on both BS and UE side.</w:t>
      </w:r>
    </w:p>
    <w:p w14:paraId="356EB4BC" w14:textId="2AEF7F2D" w:rsidR="00FD4B7D" w:rsidRDefault="00A90B04" w:rsidP="00FD4B7D">
      <w:pPr>
        <w:pStyle w:val="Caption"/>
      </w:pPr>
      <w:bookmarkStart w:id="10" w:name="_Ref163221649"/>
      <w:r>
        <w:t xml:space="preserve">Observation </w:t>
      </w:r>
      <w:fldSimple w:instr=" SEQ Observation \* ARABIC ">
        <w:r w:rsidR="00CD321B">
          <w:rPr>
            <w:noProof/>
          </w:rPr>
          <w:t>1</w:t>
        </w:r>
      </w:fldSimple>
      <w:r>
        <w:t xml:space="preserve">: In </w:t>
      </w:r>
      <w:r w:rsidRPr="00A90B04">
        <w:t>1</w:t>
      </w:r>
      <w:r w:rsidR="00FD4B7D">
        <w:t>5</w:t>
      </w:r>
      <w:r w:rsidRPr="00A90B04">
        <w:t>GHz frequency range</w:t>
      </w:r>
      <w:r>
        <w:t>, there</w:t>
      </w:r>
      <w:r w:rsidR="00311C8C">
        <w:t xml:space="preserve"> is an estimated total propagation loss of up to 18dB that must be compensated for by more advanced antenna array design on both BS and UE side</w:t>
      </w:r>
      <w:r>
        <w:t xml:space="preserve"> </w:t>
      </w:r>
      <w:bookmarkEnd w:id="10"/>
    </w:p>
    <w:p w14:paraId="38C133D9" w14:textId="77777777" w:rsidR="00F73B29" w:rsidRDefault="00F73B29" w:rsidP="007E13D9">
      <w:pPr>
        <w:jc w:val="both"/>
        <w:rPr>
          <w:rFonts w:eastAsia="新細明體"/>
        </w:rPr>
      </w:pPr>
    </w:p>
    <w:p w14:paraId="1B2E1EB0" w14:textId="1978577E" w:rsidR="007E13D9" w:rsidRDefault="00311C8C" w:rsidP="007E13D9">
      <w:pPr>
        <w:jc w:val="both"/>
        <w:rPr>
          <w:rFonts w:eastAsia="新細明體"/>
        </w:rPr>
      </w:pPr>
      <w:r>
        <w:rPr>
          <w:rFonts w:eastAsia="新細明體"/>
        </w:rPr>
        <w:t>A</w:t>
      </w:r>
      <w:r w:rsidR="00FD4B7D">
        <w:rPr>
          <w:rFonts w:eastAsia="新細明體"/>
        </w:rPr>
        <w:t xml:space="preserve">dvance antenna </w:t>
      </w:r>
      <w:r>
        <w:rPr>
          <w:rFonts w:eastAsia="新細明體"/>
        </w:rPr>
        <w:t>array design</w:t>
      </w:r>
      <w:r w:rsidR="00FD4B7D">
        <w:rPr>
          <w:rFonts w:eastAsia="新細明體"/>
        </w:rPr>
        <w:t xml:space="preserve"> </w:t>
      </w:r>
      <w:r>
        <w:rPr>
          <w:rFonts w:eastAsia="新細明體"/>
        </w:rPr>
        <w:t>could be achieved by</w:t>
      </w:r>
      <w:r w:rsidR="00FD4B7D">
        <w:rPr>
          <w:rFonts w:eastAsia="新細明體"/>
        </w:rPr>
        <w:t xml:space="preserve"> either increasing the number of antenna</w:t>
      </w:r>
      <w:r>
        <w:rPr>
          <w:rFonts w:eastAsia="新細明體"/>
        </w:rPr>
        <w:t>s, enhancing the gain of the antenna element</w:t>
      </w:r>
      <w:r w:rsidR="00FD4B7D">
        <w:rPr>
          <w:rFonts w:eastAsia="新細明體"/>
        </w:rPr>
        <w:t xml:space="preserve"> or both. It may be more </w:t>
      </w:r>
      <w:r>
        <w:rPr>
          <w:rFonts w:eastAsia="新細明體"/>
        </w:rPr>
        <w:t>practical</w:t>
      </w:r>
      <w:r w:rsidR="00FD4B7D">
        <w:rPr>
          <w:rFonts w:eastAsia="新細明體"/>
        </w:rPr>
        <w:t xml:space="preserve"> to </w:t>
      </w:r>
      <w:r>
        <w:rPr>
          <w:rFonts w:eastAsia="新細明體"/>
        </w:rPr>
        <w:t>place a greater emphasize on the BS side</w:t>
      </w:r>
      <w:r w:rsidR="00FD4B7D">
        <w:rPr>
          <w:rFonts w:eastAsia="新細明體"/>
        </w:rPr>
        <w:t xml:space="preserve"> due to </w:t>
      </w:r>
      <w:r>
        <w:rPr>
          <w:rFonts w:eastAsia="新細明體"/>
        </w:rPr>
        <w:t>the power consumption and antenna placement constraints of the UE, which is particularly crucial for enabling smartphone services at 15GHz. For instance</w:t>
      </w:r>
      <w:r w:rsidR="00FD4B7D">
        <w:rPr>
          <w:rFonts w:eastAsia="新細明體"/>
        </w:rPr>
        <w:t>,</w:t>
      </w:r>
      <w:r>
        <w:rPr>
          <w:rFonts w:eastAsia="新細明體"/>
        </w:rPr>
        <w:t xml:space="preserve"> if the number of antennas on the BS side is increased by a factor of 16, the UE would need to be equipped with 2 Tx antennas with directional capabilities. It is preferable to keep the number of UE transmit antennas to a minimum for the reasons mentioned earlier; ideally 2x, and at the most 4x. If the BS assumes less responsibility in this frequency range, the market could likely be confined to CPE.</w:t>
      </w:r>
      <w:r w:rsidR="00A90B04">
        <w:rPr>
          <w:rFonts w:eastAsia="新細明體"/>
        </w:rPr>
        <w:t xml:space="preserve"> </w:t>
      </w:r>
    </w:p>
    <w:p w14:paraId="3B5E0242" w14:textId="2E741CFF" w:rsidR="00A90B04" w:rsidRDefault="00A90B04" w:rsidP="00A90B04">
      <w:pPr>
        <w:pStyle w:val="Caption"/>
        <w:jc w:val="both"/>
        <w:rPr>
          <w:rFonts w:eastAsia="新細明體"/>
        </w:rPr>
      </w:pPr>
      <w:bookmarkStart w:id="11" w:name="OLE_LINK2"/>
      <w:bookmarkStart w:id="12" w:name="_Ref163221653"/>
      <w:bookmarkStart w:id="13" w:name="OLE_LINK1"/>
      <w:r>
        <w:t xml:space="preserve">Proposal </w:t>
      </w:r>
      <w:fldSimple w:instr=" SEQ Proposal \* ARABIC ">
        <w:r w:rsidR="00CD321B">
          <w:rPr>
            <w:noProof/>
          </w:rPr>
          <w:t>2</w:t>
        </w:r>
      </w:fldSimple>
      <w:r>
        <w:t xml:space="preserve">: In the study of IMT parameters for </w:t>
      </w:r>
      <w:bookmarkStart w:id="14" w:name="OLE_LINK28"/>
      <w:r w:rsidRPr="00A90B04">
        <w:t>14800 to 15350 MHz</w:t>
      </w:r>
      <w:bookmarkEnd w:id="14"/>
      <w:r w:rsidRPr="00A90B04">
        <w:t xml:space="preserve"> frequency range</w:t>
      </w:r>
      <w:r>
        <w:t xml:space="preserve">, RAN4 should </w:t>
      </w:r>
      <w:r w:rsidR="00311C8C">
        <w:t xml:space="preserve">aim </w:t>
      </w:r>
      <w:r>
        <w:t>to</w:t>
      </w:r>
      <w:r w:rsidR="00FD4B7D">
        <w:t xml:space="preserve"> </w:t>
      </w:r>
      <w:r w:rsidR="00E24230">
        <w:t>ensure that this frequency range can be widely supported by smartphones by carefully considering the number of UE and BS antennas.</w:t>
      </w:r>
      <w:bookmarkEnd w:id="11"/>
      <w:r w:rsidR="00E24230">
        <w:t xml:space="preserve"> </w:t>
      </w:r>
      <w:bookmarkEnd w:id="12"/>
    </w:p>
    <w:bookmarkEnd w:id="13"/>
    <w:p w14:paraId="51888836" w14:textId="77777777" w:rsidR="00A90B04" w:rsidRPr="007E13D9" w:rsidRDefault="00A90B04" w:rsidP="007E13D9">
      <w:pPr>
        <w:rPr>
          <w:rFonts w:eastAsia="新細明體"/>
        </w:rPr>
      </w:pPr>
    </w:p>
    <w:bookmarkEnd w:id="4"/>
    <w:bookmarkEnd w:id="5"/>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lastRenderedPageBreak/>
        <w:t>Summary</w:t>
      </w:r>
    </w:p>
    <w:p w14:paraId="2FDB5F34" w14:textId="304C0282" w:rsidR="00A10F55" w:rsidRDefault="006F7557" w:rsidP="00A10F55">
      <w:pPr>
        <w:adjustRightInd w:val="0"/>
        <w:snapToGrid w:val="0"/>
        <w:spacing w:before="180" w:after="120"/>
        <w:rPr>
          <w:rFonts w:eastAsia="新細明體"/>
        </w:rPr>
      </w:pPr>
      <w:r w:rsidRPr="00615B29">
        <w:rPr>
          <w:rFonts w:hint="eastAsia"/>
        </w:rPr>
        <w:t xml:space="preserve">In this </w:t>
      </w:r>
      <w:r w:rsidRPr="00615B29">
        <w:t>paper,</w:t>
      </w:r>
      <w:r w:rsidR="00FB24ED" w:rsidRPr="00615B29">
        <w:rPr>
          <w:rFonts w:hint="eastAsia"/>
        </w:rPr>
        <w:t xml:space="preserve"> </w:t>
      </w:r>
      <w:bookmarkStart w:id="15" w:name="_Hlk142597625"/>
      <w:r w:rsidR="00A90B04">
        <w:t xml:space="preserve">we </w:t>
      </w:r>
      <w:r w:rsidR="00311C8C">
        <w:t xml:space="preserve">have presented </w:t>
      </w:r>
      <w:r w:rsidR="00A90B04">
        <w:t xml:space="preserve">our view </w:t>
      </w:r>
      <w:r w:rsidR="00311C8C">
        <w:t xml:space="preserve">the </w:t>
      </w:r>
      <w:r w:rsidR="00FD4B7D">
        <w:t xml:space="preserve">on </w:t>
      </w:r>
      <w:r w:rsidR="00311C8C">
        <w:t xml:space="preserve">the </w:t>
      </w:r>
      <w:r w:rsidR="00FD4B7D">
        <w:t xml:space="preserve">number of BS antennas and </w:t>
      </w:r>
      <w:r w:rsidR="00311C8C">
        <w:t xml:space="preserve">the </w:t>
      </w:r>
      <w:r w:rsidR="00FD4B7D">
        <w:t>number of UE Tx</w:t>
      </w:r>
      <w:r w:rsidR="00A90B04">
        <w:t xml:space="preserve"> </w:t>
      </w:r>
      <w:r w:rsidR="00311C8C">
        <w:t xml:space="preserve">antennas </w:t>
      </w:r>
      <w:r w:rsidR="00A90B04">
        <w:rPr>
          <w:rFonts w:eastAsia="新細明體"/>
        </w:rPr>
        <w:t xml:space="preserve">for </w:t>
      </w:r>
      <w:r w:rsidR="00311C8C">
        <w:rPr>
          <w:rFonts w:eastAsia="新細明體"/>
        </w:rPr>
        <w:t xml:space="preserve">the </w:t>
      </w:r>
      <w:r w:rsidR="00A90B04">
        <w:rPr>
          <w:rFonts w:eastAsia="新細明體"/>
        </w:rPr>
        <w:t xml:space="preserve">frequency range </w:t>
      </w:r>
      <w:r w:rsidR="00311C8C">
        <w:rPr>
          <w:rFonts w:eastAsia="新細明體"/>
        </w:rPr>
        <w:t xml:space="preserve">of the </w:t>
      </w:r>
      <w:r w:rsidR="00A90B04" w:rsidRPr="00A90B04">
        <w:rPr>
          <w:rFonts w:eastAsia="新細明體"/>
        </w:rPr>
        <w:t xml:space="preserve">14800 to 15350 </w:t>
      </w:r>
      <w:proofErr w:type="spellStart"/>
      <w:r w:rsidR="00A90B04" w:rsidRPr="00A90B04">
        <w:rPr>
          <w:rFonts w:eastAsia="新細明體"/>
        </w:rPr>
        <w:t>MHz</w:t>
      </w:r>
      <w:r w:rsidR="00A90B04">
        <w:rPr>
          <w:rFonts w:eastAsia="新細明體"/>
        </w:rPr>
        <w:t>.</w:t>
      </w:r>
      <w:proofErr w:type="spellEnd"/>
      <w:r w:rsidR="00A90B04">
        <w:rPr>
          <w:rFonts w:eastAsia="新細明體"/>
        </w:rPr>
        <w:t xml:space="preserve"> We have </w:t>
      </w:r>
      <w:r w:rsidR="00311C8C">
        <w:rPr>
          <w:rFonts w:eastAsia="新細明體"/>
        </w:rPr>
        <w:t xml:space="preserve">made </w:t>
      </w:r>
      <w:r w:rsidR="00A90B04">
        <w:rPr>
          <w:rFonts w:eastAsia="新細明體"/>
        </w:rPr>
        <w:t>the following observations and proposals:</w:t>
      </w:r>
    </w:p>
    <w:p w14:paraId="0C3D4C4D" w14:textId="0BDF76CB" w:rsidR="00D56D67" w:rsidRPr="00311C8C" w:rsidRDefault="00D56D67" w:rsidP="00E737EE">
      <w:pPr>
        <w:adjustRightInd w:val="0"/>
        <w:snapToGrid w:val="0"/>
        <w:spacing w:before="180" w:after="120"/>
        <w:jc w:val="both"/>
        <w:rPr>
          <w:b/>
          <w:bCs/>
        </w:rPr>
      </w:pPr>
      <w:r w:rsidRPr="00311C8C">
        <w:rPr>
          <w:b/>
          <w:bCs/>
        </w:rPr>
        <w:fldChar w:fldCharType="begin"/>
      </w:r>
      <w:r w:rsidRPr="00311C8C">
        <w:rPr>
          <w:b/>
          <w:bCs/>
        </w:rPr>
        <w:instrText xml:space="preserve"> REF _Ref163221788 \h  \* MERGEFORMAT </w:instrText>
      </w:r>
      <w:r w:rsidRPr="00311C8C">
        <w:rPr>
          <w:b/>
          <w:bCs/>
        </w:rPr>
      </w:r>
      <w:r w:rsidRPr="00311C8C">
        <w:rPr>
          <w:b/>
          <w:bCs/>
        </w:rPr>
        <w:fldChar w:fldCharType="separate"/>
      </w:r>
      <w:r w:rsidR="00CD321B" w:rsidRPr="00CD321B">
        <w:rPr>
          <w:b/>
          <w:bCs/>
        </w:rPr>
        <w:t>Proposal 1: RAN4 to confirm that 15GHz BS is expected to be co-located with FR1 BS, and 15GHz BS is expected to achieve a similar coverage as FR1 BS.</w:t>
      </w:r>
      <w:r w:rsidRPr="00311C8C">
        <w:rPr>
          <w:b/>
          <w:bCs/>
        </w:rPr>
        <w:fldChar w:fldCharType="end"/>
      </w:r>
    </w:p>
    <w:p w14:paraId="60EA55CD" w14:textId="50C02CBA" w:rsidR="00A90B04" w:rsidRPr="003C2D4A" w:rsidRDefault="00A90B04" w:rsidP="00E737EE">
      <w:pPr>
        <w:adjustRightInd w:val="0"/>
        <w:snapToGrid w:val="0"/>
        <w:spacing w:before="180" w:after="120"/>
        <w:jc w:val="both"/>
        <w:rPr>
          <w:b/>
          <w:bCs/>
        </w:rPr>
      </w:pPr>
      <w:r w:rsidRPr="003C2D4A">
        <w:rPr>
          <w:b/>
          <w:bCs/>
        </w:rPr>
        <w:fldChar w:fldCharType="begin"/>
      </w:r>
      <w:r w:rsidRPr="003C2D4A">
        <w:rPr>
          <w:b/>
          <w:bCs/>
        </w:rPr>
        <w:instrText xml:space="preserve"> REF _Ref163221649 \h  \* MERGEFORMAT </w:instrText>
      </w:r>
      <w:r w:rsidRPr="003C2D4A">
        <w:rPr>
          <w:b/>
          <w:bCs/>
        </w:rPr>
      </w:r>
      <w:r w:rsidRPr="003C2D4A">
        <w:rPr>
          <w:b/>
          <w:bCs/>
        </w:rPr>
        <w:fldChar w:fldCharType="separate"/>
      </w:r>
      <w:r w:rsidR="00CD321B" w:rsidRPr="00CD321B">
        <w:rPr>
          <w:b/>
          <w:bCs/>
        </w:rPr>
        <w:t xml:space="preserve">Observation 1: In 15GHz frequency range, there is an estimated total propagation loss of up to 18dB that must be compensated for by more advanced antenna array design on both BS and UE side </w:t>
      </w:r>
      <w:r w:rsidRPr="003C2D4A">
        <w:rPr>
          <w:b/>
          <w:bCs/>
        </w:rPr>
        <w:fldChar w:fldCharType="end"/>
      </w:r>
      <w:r w:rsidR="00311C8C" w:rsidRPr="003C2D4A">
        <w:rPr>
          <w:b/>
          <w:bCs/>
        </w:rPr>
        <w:t>array design.</w:t>
      </w:r>
    </w:p>
    <w:p w14:paraId="28AF02DC" w14:textId="19281047" w:rsidR="000621EB" w:rsidRPr="003C2D4A" w:rsidRDefault="00A90B04" w:rsidP="00E737EE">
      <w:pPr>
        <w:adjustRightInd w:val="0"/>
        <w:snapToGrid w:val="0"/>
        <w:spacing w:before="180" w:after="120"/>
        <w:jc w:val="both"/>
        <w:rPr>
          <w:b/>
          <w:bCs/>
        </w:rPr>
      </w:pPr>
      <w:r w:rsidRPr="003C2D4A">
        <w:rPr>
          <w:b/>
          <w:bCs/>
        </w:rPr>
        <w:fldChar w:fldCharType="begin"/>
      </w:r>
      <w:r w:rsidRPr="003C2D4A">
        <w:rPr>
          <w:b/>
          <w:bCs/>
        </w:rPr>
        <w:instrText xml:space="preserve"> REF _Ref163221653 \h  \* MERGEFORMAT </w:instrText>
      </w:r>
      <w:r w:rsidRPr="003C2D4A">
        <w:rPr>
          <w:b/>
          <w:bCs/>
        </w:rPr>
      </w:r>
      <w:r w:rsidRPr="003C2D4A">
        <w:rPr>
          <w:b/>
          <w:bCs/>
        </w:rPr>
        <w:fldChar w:fldCharType="separate"/>
      </w:r>
      <w:r w:rsidR="00CD321B" w:rsidRPr="00CD321B">
        <w:rPr>
          <w:b/>
          <w:bCs/>
        </w:rPr>
        <w:t xml:space="preserve">Proposal 2: In the study of IMT parameters for 14800 to 15350 MHz frequency range, RAN4 should aim to ensure that this frequency range can be widely supported by smartphones by carefully considering the number of UE and BS antennas. </w:t>
      </w:r>
      <w:r w:rsidRPr="003C2D4A">
        <w:rPr>
          <w:b/>
          <w:bCs/>
        </w:rPr>
        <w:fldChar w:fldCharType="end"/>
      </w:r>
    </w:p>
    <w:bookmarkEnd w:id="15"/>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新細明體"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0743B4D1" w14:textId="34F722FF" w:rsidR="001D490F" w:rsidRDefault="00267432" w:rsidP="00BB2C11">
      <w:pPr>
        <w:pStyle w:val="references0"/>
        <w:rPr>
          <w:rFonts w:asciiTheme="minorHAnsi" w:eastAsiaTheme="minorEastAsia" w:hAnsiTheme="minorHAnsi" w:cstheme="minorBidi"/>
          <w:noProof w:val="0"/>
          <w:kern w:val="2"/>
          <w:sz w:val="21"/>
          <w:szCs w:val="22"/>
          <w:lang w:eastAsia="zh-CN"/>
        </w:rPr>
      </w:pPr>
      <w:r w:rsidRPr="00267432">
        <w:rPr>
          <w:rFonts w:asciiTheme="minorHAnsi" w:eastAsiaTheme="minorEastAsia" w:hAnsiTheme="minorHAnsi" w:cstheme="minorBidi"/>
          <w:noProof w:val="0"/>
          <w:kern w:val="2"/>
          <w:sz w:val="21"/>
          <w:szCs w:val="22"/>
          <w:lang w:eastAsia="zh-CN"/>
        </w:rPr>
        <w:t>R</w:t>
      </w:r>
      <w:r w:rsidR="00A10F55">
        <w:rPr>
          <w:rFonts w:asciiTheme="minorHAnsi" w:eastAsia="新細明體" w:hAnsiTheme="minorHAnsi" w:cstheme="minorBidi" w:hint="eastAsia"/>
          <w:noProof w:val="0"/>
          <w:kern w:val="2"/>
          <w:sz w:val="21"/>
          <w:szCs w:val="22"/>
          <w:lang w:eastAsia="zh-TW"/>
        </w:rPr>
        <w:t>P</w:t>
      </w:r>
      <w:r w:rsidR="00A10F55">
        <w:rPr>
          <w:rFonts w:asciiTheme="minorHAnsi" w:eastAsia="新細明體" w:hAnsiTheme="minorHAnsi" w:cstheme="minorBidi"/>
          <w:noProof w:val="0"/>
          <w:kern w:val="2"/>
          <w:sz w:val="21"/>
          <w:szCs w:val="22"/>
          <w:lang w:eastAsia="zh-TW"/>
        </w:rPr>
        <w:t>-240787</w:t>
      </w:r>
      <w:r w:rsidR="00BB2C11">
        <w:rPr>
          <w:rFonts w:asciiTheme="minorHAnsi" w:eastAsiaTheme="minorEastAsia" w:hAnsiTheme="minorHAnsi" w:cstheme="minorBidi"/>
          <w:noProof w:val="0"/>
          <w:kern w:val="2"/>
          <w:sz w:val="21"/>
          <w:szCs w:val="22"/>
          <w:lang w:eastAsia="zh-CN"/>
        </w:rPr>
        <w:t>, “</w:t>
      </w:r>
      <w:r w:rsidR="00A10F55" w:rsidRPr="00A10F55">
        <w:rPr>
          <w:rFonts w:asciiTheme="minorHAnsi" w:eastAsiaTheme="minorEastAsia" w:hAnsiTheme="minorHAnsi" w:cstheme="minorBidi"/>
          <w:noProof w:val="0"/>
          <w:kern w:val="2"/>
          <w:sz w:val="21"/>
          <w:szCs w:val="22"/>
          <w:lang w:eastAsia="zh-CN"/>
        </w:rPr>
        <w:t>New SI proposal: Study on IMT parameters for 4400 to 4800 MHz, 7125 to 8400 MHz and 14800 to 15350 MHz</w:t>
      </w:r>
      <w:r w:rsidR="00BB2C11">
        <w:rPr>
          <w:rFonts w:asciiTheme="minorHAnsi" w:eastAsiaTheme="minorEastAsia" w:hAnsiTheme="minorHAnsi" w:cstheme="minorBidi"/>
          <w:noProof w:val="0"/>
          <w:kern w:val="2"/>
          <w:sz w:val="21"/>
          <w:szCs w:val="22"/>
          <w:lang w:eastAsia="zh-CN"/>
        </w:rPr>
        <w:t xml:space="preserve">”, </w:t>
      </w:r>
      <w:r w:rsidR="00A10F55" w:rsidRPr="00A10F55">
        <w:rPr>
          <w:rFonts w:asciiTheme="minorHAnsi" w:eastAsiaTheme="minorEastAsia" w:hAnsiTheme="minorHAnsi" w:cstheme="minorBidi"/>
          <w:noProof w:val="0"/>
          <w:kern w:val="2"/>
          <w:sz w:val="21"/>
          <w:szCs w:val="22"/>
          <w:lang w:eastAsia="zh-CN"/>
        </w:rPr>
        <w:t>Ericsson</w:t>
      </w:r>
    </w:p>
    <w:p w14:paraId="79B89449" w14:textId="04BCA1ED" w:rsidR="008C197A" w:rsidRPr="00A10F55" w:rsidRDefault="008C197A" w:rsidP="00DD5A57">
      <w:pPr>
        <w:pStyle w:val="references0"/>
        <w:rPr>
          <w:rFonts w:asciiTheme="minorHAnsi" w:eastAsiaTheme="minorEastAsia" w:hAnsiTheme="minorHAnsi" w:cstheme="minorBidi"/>
          <w:noProof w:val="0"/>
          <w:kern w:val="2"/>
          <w:sz w:val="21"/>
          <w:szCs w:val="22"/>
          <w:lang w:eastAsia="zh-CN"/>
        </w:rPr>
      </w:pPr>
      <w:r w:rsidRPr="00A10F55">
        <w:rPr>
          <w:rFonts w:asciiTheme="minorHAnsi" w:eastAsiaTheme="minorEastAsia" w:hAnsiTheme="minorHAnsi" w:cstheme="minorBidi"/>
          <w:noProof w:val="0"/>
          <w:kern w:val="2"/>
          <w:sz w:val="21"/>
          <w:szCs w:val="22"/>
          <w:lang w:eastAsia="zh-CN"/>
        </w:rPr>
        <w:t>R4-2</w:t>
      </w:r>
      <w:r w:rsidR="00A10F55" w:rsidRPr="00A10F55">
        <w:rPr>
          <w:rFonts w:asciiTheme="minorHAnsi" w:eastAsiaTheme="minorEastAsia" w:hAnsiTheme="minorHAnsi" w:cstheme="minorBidi"/>
          <w:noProof w:val="0"/>
          <w:kern w:val="2"/>
          <w:sz w:val="21"/>
          <w:szCs w:val="22"/>
          <w:lang w:eastAsia="zh-CN"/>
        </w:rPr>
        <w:t>400333</w:t>
      </w:r>
      <w:r w:rsidRPr="00A10F55">
        <w:rPr>
          <w:rFonts w:asciiTheme="minorHAnsi" w:eastAsiaTheme="minorEastAsia" w:hAnsiTheme="minorHAnsi" w:cstheme="minorBidi"/>
          <w:noProof w:val="0"/>
          <w:kern w:val="2"/>
          <w:sz w:val="21"/>
          <w:szCs w:val="22"/>
          <w:lang w:eastAsia="zh-CN"/>
        </w:rPr>
        <w:t>, “</w:t>
      </w:r>
      <w:r w:rsidR="00A10F55" w:rsidRPr="00A10F55">
        <w:rPr>
          <w:rFonts w:asciiTheme="minorHAnsi" w:eastAsiaTheme="minorEastAsia" w:hAnsiTheme="minorHAnsi" w:cstheme="minorBidi"/>
          <w:noProof w:val="0"/>
          <w:kern w:val="2"/>
          <w:sz w:val="21"/>
          <w:szCs w:val="22"/>
          <w:lang w:eastAsia="zh-CN"/>
        </w:rPr>
        <w:t>Parameters of terrestrial component of IMT for sharing and compatibility studies in the frequency bands 4 400-4 800 MHz, 7 125-8 400 MHz and 14.8-15.35 GHz</w:t>
      </w:r>
      <w:r w:rsidRPr="00A10F55">
        <w:rPr>
          <w:rFonts w:asciiTheme="minorHAnsi" w:eastAsiaTheme="minorEastAsia" w:hAnsiTheme="minorHAnsi" w:cstheme="minorBidi"/>
          <w:noProof w:val="0"/>
          <w:kern w:val="2"/>
          <w:sz w:val="21"/>
          <w:szCs w:val="22"/>
          <w:lang w:eastAsia="zh-CN"/>
        </w:rPr>
        <w:t xml:space="preserve">”, </w:t>
      </w:r>
      <w:r w:rsidR="00A10F55" w:rsidRPr="00A10F55">
        <w:rPr>
          <w:rFonts w:asciiTheme="minorHAnsi" w:eastAsiaTheme="minorEastAsia" w:hAnsiTheme="minorHAnsi" w:cstheme="minorBidi"/>
          <w:noProof w:val="0"/>
          <w:kern w:val="2"/>
          <w:sz w:val="21"/>
          <w:szCs w:val="22"/>
          <w:lang w:eastAsia="zh-CN"/>
        </w:rPr>
        <w:t>ITU-R Working Party 5D</w:t>
      </w:r>
    </w:p>
    <w:sectPr w:rsidR="008C197A" w:rsidRPr="00A10F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E9D44" w14:textId="77777777" w:rsidR="006C6364" w:rsidRDefault="006C6364">
      <w:r>
        <w:separator/>
      </w:r>
    </w:p>
  </w:endnote>
  <w:endnote w:type="continuationSeparator" w:id="0">
    <w:p w14:paraId="366E0490" w14:textId="77777777" w:rsidR="006C6364" w:rsidRDefault="006C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41B6" w14:textId="77777777" w:rsidR="006C6364" w:rsidRDefault="006C6364">
      <w:r>
        <w:separator/>
      </w:r>
    </w:p>
  </w:footnote>
  <w:footnote w:type="continuationSeparator" w:id="0">
    <w:p w14:paraId="1F49236C" w14:textId="77777777" w:rsidR="006C6364" w:rsidRDefault="006C6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F8263D6"/>
    <w:multiLevelType w:val="hybridMultilevel"/>
    <w:tmpl w:val="C04EF5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915EB8"/>
    <w:multiLevelType w:val="hybridMultilevel"/>
    <w:tmpl w:val="C486BEAA"/>
    <w:lvl w:ilvl="0" w:tplc="DB60718C">
      <w:start w:val="1"/>
      <w:numFmt w:val="bullet"/>
      <w:lvlText w:val="•"/>
      <w:lvlJc w:val="left"/>
      <w:pPr>
        <w:ind w:left="647" w:hanging="420"/>
      </w:pPr>
      <w:rPr>
        <w:rFonts w:ascii="Arial" w:hAnsi="Arial" w:hint="default"/>
      </w:rPr>
    </w:lvl>
    <w:lvl w:ilvl="1" w:tplc="DB60718C">
      <w:start w:val="1"/>
      <w:numFmt w:val="bullet"/>
      <w:lvlText w:val="•"/>
      <w:lvlJc w:val="left"/>
      <w:pPr>
        <w:ind w:left="1067" w:hanging="420"/>
      </w:pPr>
      <w:rPr>
        <w:rFonts w:ascii="Arial" w:hAnsi="Arial" w:hint="default"/>
      </w:rPr>
    </w:lvl>
    <w:lvl w:ilvl="2" w:tplc="04090005">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16cid:durableId="1981763696">
    <w:abstractNumId w:val="22"/>
  </w:num>
  <w:num w:numId="2" w16cid:durableId="1348750690">
    <w:abstractNumId w:val="14"/>
  </w:num>
  <w:num w:numId="3" w16cid:durableId="1397120190">
    <w:abstractNumId w:val="2"/>
  </w:num>
  <w:num w:numId="4" w16cid:durableId="1152059548">
    <w:abstractNumId w:val="0"/>
  </w:num>
  <w:num w:numId="5" w16cid:durableId="1152257722">
    <w:abstractNumId w:val="18"/>
    <w:lvlOverride w:ilvl="0">
      <w:startOverride w:val="1"/>
    </w:lvlOverride>
  </w:num>
  <w:num w:numId="6" w16cid:durableId="358438819">
    <w:abstractNumId w:val="24"/>
  </w:num>
  <w:num w:numId="7" w16cid:durableId="667296059">
    <w:abstractNumId w:val="20"/>
  </w:num>
  <w:num w:numId="8" w16cid:durableId="777673750">
    <w:abstractNumId w:val="5"/>
  </w:num>
  <w:num w:numId="9" w16cid:durableId="387873894">
    <w:abstractNumId w:val="27"/>
  </w:num>
  <w:num w:numId="10" w16cid:durableId="1781412029">
    <w:abstractNumId w:val="4"/>
  </w:num>
  <w:num w:numId="11" w16cid:durableId="1011032453">
    <w:abstractNumId w:val="17"/>
  </w:num>
  <w:num w:numId="12" w16cid:durableId="1819808486">
    <w:abstractNumId w:val="26"/>
  </w:num>
  <w:num w:numId="13" w16cid:durableId="1825657087">
    <w:abstractNumId w:val="15"/>
  </w:num>
  <w:num w:numId="14" w16cid:durableId="1299067652">
    <w:abstractNumId w:val="10"/>
  </w:num>
  <w:num w:numId="15" w16cid:durableId="2138840560">
    <w:abstractNumId w:val="19"/>
  </w:num>
  <w:num w:numId="16" w16cid:durableId="1392651413">
    <w:abstractNumId w:val="1"/>
  </w:num>
  <w:num w:numId="17" w16cid:durableId="2011567560">
    <w:abstractNumId w:val="6"/>
  </w:num>
  <w:num w:numId="18" w16cid:durableId="723993606">
    <w:abstractNumId w:val="16"/>
  </w:num>
  <w:num w:numId="19" w16cid:durableId="939333829">
    <w:abstractNumId w:val="8"/>
  </w:num>
  <w:num w:numId="20" w16cid:durableId="1204489497">
    <w:abstractNumId w:val="12"/>
  </w:num>
  <w:num w:numId="21" w16cid:durableId="1083525009">
    <w:abstractNumId w:val="15"/>
  </w:num>
  <w:num w:numId="22" w16cid:durableId="1682197347">
    <w:abstractNumId w:val="16"/>
  </w:num>
  <w:num w:numId="23" w16cid:durableId="7222752">
    <w:abstractNumId w:val="21"/>
  </w:num>
  <w:num w:numId="24" w16cid:durableId="1632127901">
    <w:abstractNumId w:val="3"/>
  </w:num>
  <w:num w:numId="25" w16cid:durableId="584454912">
    <w:abstractNumId w:val="13"/>
  </w:num>
  <w:num w:numId="26" w16cid:durableId="882912903">
    <w:abstractNumId w:val="23"/>
  </w:num>
  <w:num w:numId="27" w16cid:durableId="1367832595">
    <w:abstractNumId w:val="20"/>
  </w:num>
  <w:num w:numId="28" w16cid:durableId="248389344">
    <w:abstractNumId w:val="20"/>
  </w:num>
  <w:num w:numId="29" w16cid:durableId="315571059">
    <w:abstractNumId w:val="9"/>
  </w:num>
  <w:num w:numId="30" w16cid:durableId="2080326535">
    <w:abstractNumId w:val="28"/>
  </w:num>
  <w:num w:numId="31" w16cid:durableId="1311596109">
    <w:abstractNumId w:val="11"/>
  </w:num>
  <w:num w:numId="32" w16cid:durableId="2051689951">
    <w:abstractNumId w:val="25"/>
  </w:num>
  <w:num w:numId="33" w16cid:durableId="304510469">
    <w:abstractNumId w:val="20"/>
  </w:num>
  <w:num w:numId="34" w16cid:durableId="1965574959">
    <w:abstractNumId w:val="20"/>
  </w:num>
  <w:num w:numId="35" w16cid:durableId="189546257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6C8"/>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95A"/>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725"/>
    <w:rsid w:val="00097D62"/>
    <w:rsid w:val="00097DFB"/>
    <w:rsid w:val="00097FCB"/>
    <w:rsid w:val="000A02C8"/>
    <w:rsid w:val="000A08CE"/>
    <w:rsid w:val="000A0979"/>
    <w:rsid w:val="000A0E52"/>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726"/>
    <w:rsid w:val="000A77F2"/>
    <w:rsid w:val="000B0287"/>
    <w:rsid w:val="000B06A9"/>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71E"/>
    <w:rsid w:val="000F6969"/>
    <w:rsid w:val="000F6E42"/>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75F"/>
    <w:rsid w:val="0016581A"/>
    <w:rsid w:val="00165AC5"/>
    <w:rsid w:val="00165DB6"/>
    <w:rsid w:val="00165F58"/>
    <w:rsid w:val="0016622D"/>
    <w:rsid w:val="001662D0"/>
    <w:rsid w:val="00166515"/>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943"/>
    <w:rsid w:val="001779B5"/>
    <w:rsid w:val="001800E8"/>
    <w:rsid w:val="001801CA"/>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468"/>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87"/>
    <w:rsid w:val="001E1CF2"/>
    <w:rsid w:val="001E24A5"/>
    <w:rsid w:val="001E2B47"/>
    <w:rsid w:val="001E2BD4"/>
    <w:rsid w:val="001E2C4C"/>
    <w:rsid w:val="001E2C52"/>
    <w:rsid w:val="001E2DF3"/>
    <w:rsid w:val="001E3040"/>
    <w:rsid w:val="001E3C69"/>
    <w:rsid w:val="001E41EB"/>
    <w:rsid w:val="001E4614"/>
    <w:rsid w:val="001E48F4"/>
    <w:rsid w:val="001E4C39"/>
    <w:rsid w:val="001E4C5E"/>
    <w:rsid w:val="001E4D35"/>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2F3"/>
    <w:rsid w:val="001F7402"/>
    <w:rsid w:val="001F74C3"/>
    <w:rsid w:val="001F7601"/>
    <w:rsid w:val="001F7BB2"/>
    <w:rsid w:val="001F7D48"/>
    <w:rsid w:val="001F7E57"/>
    <w:rsid w:val="0020044D"/>
    <w:rsid w:val="0020051C"/>
    <w:rsid w:val="00200DBD"/>
    <w:rsid w:val="00200FC8"/>
    <w:rsid w:val="00201DAC"/>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1B8"/>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8E6"/>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94B"/>
    <w:rsid w:val="00255BF0"/>
    <w:rsid w:val="00255CE8"/>
    <w:rsid w:val="00255D29"/>
    <w:rsid w:val="00255D9E"/>
    <w:rsid w:val="00255F92"/>
    <w:rsid w:val="00256225"/>
    <w:rsid w:val="00256264"/>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36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DBE"/>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6A"/>
    <w:rsid w:val="002C1D8E"/>
    <w:rsid w:val="002C2BBC"/>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887"/>
    <w:rsid w:val="002D18AA"/>
    <w:rsid w:val="002D1960"/>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8C"/>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910"/>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A0C"/>
    <w:rsid w:val="00365B13"/>
    <w:rsid w:val="00365D8F"/>
    <w:rsid w:val="0036634E"/>
    <w:rsid w:val="0036652C"/>
    <w:rsid w:val="0036658D"/>
    <w:rsid w:val="0036694E"/>
    <w:rsid w:val="0036717B"/>
    <w:rsid w:val="00367473"/>
    <w:rsid w:val="003674B3"/>
    <w:rsid w:val="003676B4"/>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6B1"/>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2D4A"/>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4F4C"/>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91F"/>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2C9"/>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6E1"/>
    <w:rsid w:val="00455D25"/>
    <w:rsid w:val="00455D8B"/>
    <w:rsid w:val="00455D9D"/>
    <w:rsid w:val="00455DA0"/>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52E"/>
    <w:rsid w:val="004767E2"/>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F8D"/>
    <w:rsid w:val="0050049A"/>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423C"/>
    <w:rsid w:val="0051425B"/>
    <w:rsid w:val="00514261"/>
    <w:rsid w:val="0051487E"/>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75F9"/>
    <w:rsid w:val="0055767B"/>
    <w:rsid w:val="00557C38"/>
    <w:rsid w:val="005603B3"/>
    <w:rsid w:val="0056083E"/>
    <w:rsid w:val="00560901"/>
    <w:rsid w:val="00560B38"/>
    <w:rsid w:val="00560B6D"/>
    <w:rsid w:val="00561270"/>
    <w:rsid w:val="005612EE"/>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92C"/>
    <w:rsid w:val="00572105"/>
    <w:rsid w:val="005721A8"/>
    <w:rsid w:val="005727F0"/>
    <w:rsid w:val="005728BE"/>
    <w:rsid w:val="00572988"/>
    <w:rsid w:val="00572DB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AE"/>
    <w:rsid w:val="005E38B2"/>
    <w:rsid w:val="005E40EE"/>
    <w:rsid w:val="005E4A4F"/>
    <w:rsid w:val="005E4C5C"/>
    <w:rsid w:val="005E5A6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30"/>
    <w:rsid w:val="00645FB8"/>
    <w:rsid w:val="00645FE9"/>
    <w:rsid w:val="00646442"/>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268"/>
    <w:rsid w:val="00687331"/>
    <w:rsid w:val="0068771B"/>
    <w:rsid w:val="00687938"/>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905"/>
    <w:rsid w:val="006C4A5D"/>
    <w:rsid w:val="006C4FAD"/>
    <w:rsid w:val="006C54DE"/>
    <w:rsid w:val="006C5522"/>
    <w:rsid w:val="006C5791"/>
    <w:rsid w:val="006C5B9D"/>
    <w:rsid w:val="006C6364"/>
    <w:rsid w:val="006C650C"/>
    <w:rsid w:val="006C6577"/>
    <w:rsid w:val="006C6644"/>
    <w:rsid w:val="006C6834"/>
    <w:rsid w:val="006C69E2"/>
    <w:rsid w:val="006C6BD9"/>
    <w:rsid w:val="006C6CDC"/>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2F5"/>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898"/>
    <w:rsid w:val="00727DF5"/>
    <w:rsid w:val="00727FD1"/>
    <w:rsid w:val="0073125D"/>
    <w:rsid w:val="007317E0"/>
    <w:rsid w:val="00731F3E"/>
    <w:rsid w:val="00732032"/>
    <w:rsid w:val="00732810"/>
    <w:rsid w:val="00732E3E"/>
    <w:rsid w:val="00733392"/>
    <w:rsid w:val="0073379B"/>
    <w:rsid w:val="007340AC"/>
    <w:rsid w:val="0073413F"/>
    <w:rsid w:val="00734533"/>
    <w:rsid w:val="007345AC"/>
    <w:rsid w:val="0073526E"/>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0C6C"/>
    <w:rsid w:val="00771F4C"/>
    <w:rsid w:val="0077214D"/>
    <w:rsid w:val="00772159"/>
    <w:rsid w:val="00772572"/>
    <w:rsid w:val="00772D32"/>
    <w:rsid w:val="00773769"/>
    <w:rsid w:val="007738EF"/>
    <w:rsid w:val="00773B05"/>
    <w:rsid w:val="00773E0B"/>
    <w:rsid w:val="00773F2C"/>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109C"/>
    <w:rsid w:val="007A22A2"/>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3D9"/>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5F04"/>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3C4E"/>
    <w:rsid w:val="00864277"/>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4F"/>
    <w:rsid w:val="0086778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222A"/>
    <w:rsid w:val="0093287C"/>
    <w:rsid w:val="00932A5B"/>
    <w:rsid w:val="00933816"/>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6D3F"/>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52A7"/>
    <w:rsid w:val="00955CE5"/>
    <w:rsid w:val="00955FD6"/>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A45"/>
    <w:rsid w:val="00975DB9"/>
    <w:rsid w:val="00976034"/>
    <w:rsid w:val="00976E48"/>
    <w:rsid w:val="0097779D"/>
    <w:rsid w:val="009779AE"/>
    <w:rsid w:val="00977D00"/>
    <w:rsid w:val="00977E14"/>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A6"/>
    <w:rsid w:val="009D087D"/>
    <w:rsid w:val="009D0D3B"/>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0E9"/>
    <w:rsid w:val="00A06B2E"/>
    <w:rsid w:val="00A06B3D"/>
    <w:rsid w:val="00A07250"/>
    <w:rsid w:val="00A076B3"/>
    <w:rsid w:val="00A078AA"/>
    <w:rsid w:val="00A07C3C"/>
    <w:rsid w:val="00A10156"/>
    <w:rsid w:val="00A10CB1"/>
    <w:rsid w:val="00A10F55"/>
    <w:rsid w:val="00A111E1"/>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4"/>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0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26F"/>
    <w:rsid w:val="00BA7882"/>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64"/>
    <w:rsid w:val="00BB6C7A"/>
    <w:rsid w:val="00BB6E8E"/>
    <w:rsid w:val="00BB76F6"/>
    <w:rsid w:val="00BB7832"/>
    <w:rsid w:val="00BB7B33"/>
    <w:rsid w:val="00BB7EA7"/>
    <w:rsid w:val="00BC1730"/>
    <w:rsid w:val="00BC19C0"/>
    <w:rsid w:val="00BC2158"/>
    <w:rsid w:val="00BC21A5"/>
    <w:rsid w:val="00BC26C1"/>
    <w:rsid w:val="00BC2762"/>
    <w:rsid w:val="00BC3062"/>
    <w:rsid w:val="00BC330C"/>
    <w:rsid w:val="00BC3509"/>
    <w:rsid w:val="00BC3759"/>
    <w:rsid w:val="00BC3841"/>
    <w:rsid w:val="00BC3DE3"/>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8BA"/>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2CD4"/>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53E"/>
    <w:rsid w:val="00C1697B"/>
    <w:rsid w:val="00C16F8E"/>
    <w:rsid w:val="00C1769B"/>
    <w:rsid w:val="00C177DC"/>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246"/>
    <w:rsid w:val="00C2465B"/>
    <w:rsid w:val="00C248D1"/>
    <w:rsid w:val="00C24DAF"/>
    <w:rsid w:val="00C257EF"/>
    <w:rsid w:val="00C25BCF"/>
    <w:rsid w:val="00C25EA0"/>
    <w:rsid w:val="00C2600D"/>
    <w:rsid w:val="00C26173"/>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30ED"/>
    <w:rsid w:val="00C43875"/>
    <w:rsid w:val="00C4387A"/>
    <w:rsid w:val="00C43FF0"/>
    <w:rsid w:val="00C4439A"/>
    <w:rsid w:val="00C44DCB"/>
    <w:rsid w:val="00C45063"/>
    <w:rsid w:val="00C452B1"/>
    <w:rsid w:val="00C45344"/>
    <w:rsid w:val="00C45746"/>
    <w:rsid w:val="00C45755"/>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BD"/>
    <w:rsid w:val="00C95FD1"/>
    <w:rsid w:val="00C96B13"/>
    <w:rsid w:val="00C96E22"/>
    <w:rsid w:val="00C96E9B"/>
    <w:rsid w:val="00C96F79"/>
    <w:rsid w:val="00C97411"/>
    <w:rsid w:val="00C97C50"/>
    <w:rsid w:val="00CA0872"/>
    <w:rsid w:val="00CA0940"/>
    <w:rsid w:val="00CA0BB5"/>
    <w:rsid w:val="00CA0DD7"/>
    <w:rsid w:val="00CA1A53"/>
    <w:rsid w:val="00CA1FE4"/>
    <w:rsid w:val="00CA270E"/>
    <w:rsid w:val="00CA31FD"/>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1B"/>
    <w:rsid w:val="00CD32F6"/>
    <w:rsid w:val="00CD356A"/>
    <w:rsid w:val="00CD3739"/>
    <w:rsid w:val="00CD3C78"/>
    <w:rsid w:val="00CD4084"/>
    <w:rsid w:val="00CD43BF"/>
    <w:rsid w:val="00CD44E3"/>
    <w:rsid w:val="00CD4BAB"/>
    <w:rsid w:val="00CD4C64"/>
    <w:rsid w:val="00CD4FA8"/>
    <w:rsid w:val="00CD5E70"/>
    <w:rsid w:val="00CD5ED8"/>
    <w:rsid w:val="00CD5F26"/>
    <w:rsid w:val="00CD621D"/>
    <w:rsid w:val="00CD6241"/>
    <w:rsid w:val="00CD6536"/>
    <w:rsid w:val="00CD65E7"/>
    <w:rsid w:val="00CD6994"/>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3D"/>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CCA"/>
    <w:rsid w:val="00D476E9"/>
    <w:rsid w:val="00D47BD8"/>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6D67"/>
    <w:rsid w:val="00D5708E"/>
    <w:rsid w:val="00D572C9"/>
    <w:rsid w:val="00D573E5"/>
    <w:rsid w:val="00D576F4"/>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592"/>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54B"/>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DF7A2C"/>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230"/>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128"/>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7EE"/>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BA0"/>
    <w:rsid w:val="00EB1BBB"/>
    <w:rsid w:val="00EB1BFF"/>
    <w:rsid w:val="00EB281F"/>
    <w:rsid w:val="00EB2B96"/>
    <w:rsid w:val="00EB3243"/>
    <w:rsid w:val="00EB3276"/>
    <w:rsid w:val="00EB3568"/>
    <w:rsid w:val="00EB3961"/>
    <w:rsid w:val="00EB3D57"/>
    <w:rsid w:val="00EB3E64"/>
    <w:rsid w:val="00EB4012"/>
    <w:rsid w:val="00EB40C2"/>
    <w:rsid w:val="00EB466D"/>
    <w:rsid w:val="00EB46CC"/>
    <w:rsid w:val="00EB4A0F"/>
    <w:rsid w:val="00EB58AE"/>
    <w:rsid w:val="00EB6301"/>
    <w:rsid w:val="00EB663B"/>
    <w:rsid w:val="00EB6888"/>
    <w:rsid w:val="00EB695D"/>
    <w:rsid w:val="00EB6F9E"/>
    <w:rsid w:val="00EB737C"/>
    <w:rsid w:val="00EB79BE"/>
    <w:rsid w:val="00EB7E44"/>
    <w:rsid w:val="00EC0153"/>
    <w:rsid w:val="00EC03AD"/>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C97"/>
    <w:rsid w:val="00EE2FE7"/>
    <w:rsid w:val="00EE37E5"/>
    <w:rsid w:val="00EE3B1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80A"/>
    <w:rsid w:val="00F3697A"/>
    <w:rsid w:val="00F36C0C"/>
    <w:rsid w:val="00F37392"/>
    <w:rsid w:val="00F37647"/>
    <w:rsid w:val="00F37AF1"/>
    <w:rsid w:val="00F37B13"/>
    <w:rsid w:val="00F401B1"/>
    <w:rsid w:val="00F406C2"/>
    <w:rsid w:val="00F40A10"/>
    <w:rsid w:val="00F411FF"/>
    <w:rsid w:val="00F41F34"/>
    <w:rsid w:val="00F41F96"/>
    <w:rsid w:val="00F42022"/>
    <w:rsid w:val="00F42AEA"/>
    <w:rsid w:val="00F43148"/>
    <w:rsid w:val="00F43398"/>
    <w:rsid w:val="00F43451"/>
    <w:rsid w:val="00F43B65"/>
    <w:rsid w:val="00F44085"/>
    <w:rsid w:val="00F443DA"/>
    <w:rsid w:val="00F44613"/>
    <w:rsid w:val="00F44645"/>
    <w:rsid w:val="00F44A3B"/>
    <w:rsid w:val="00F4537E"/>
    <w:rsid w:val="00F45BAC"/>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568"/>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B29"/>
    <w:rsid w:val="00F73D49"/>
    <w:rsid w:val="00F73DA9"/>
    <w:rsid w:val="00F73F63"/>
    <w:rsid w:val="00F74075"/>
    <w:rsid w:val="00F74085"/>
    <w:rsid w:val="00F7429D"/>
    <w:rsid w:val="00F7434C"/>
    <w:rsid w:val="00F745D5"/>
    <w:rsid w:val="00F748FD"/>
    <w:rsid w:val="00F74F40"/>
    <w:rsid w:val="00F7549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53B"/>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B7D"/>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A2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F7A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A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SimSun"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SimSun"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SimSun"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SimSun"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57459174">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36670133">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1523205">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196997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574976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MTK - Ato Yu</cp:lastModifiedBy>
  <cp:revision>14</cp:revision>
  <dcterms:created xsi:type="dcterms:W3CDTF">2024-04-05T18:09:00Z</dcterms:created>
  <dcterms:modified xsi:type="dcterms:W3CDTF">2024-04-07T10:35:00Z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